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Windham Planning Commission </w:t>
      </w:r>
    </w:p>
    <w:p w:rsidR="00000000" w:rsidDel="00000000" w:rsidP="00000000" w:rsidRDefault="00000000" w:rsidRPr="00000000">
      <w:pPr>
        <w:pBdr/>
        <w:contextualSpacing w:val="0"/>
        <w:rPr/>
      </w:pPr>
      <w:r w:rsidDel="00000000" w:rsidR="00000000" w:rsidRPr="00000000">
        <w:rPr>
          <w:rtl w:val="0"/>
        </w:rPr>
        <w:t xml:space="preserve">Approved minutes</w:t>
      </w:r>
    </w:p>
    <w:p w:rsidR="00000000" w:rsidDel="00000000" w:rsidP="00000000" w:rsidRDefault="00000000" w:rsidRPr="00000000">
      <w:pPr>
        <w:pBdr/>
        <w:contextualSpacing w:val="0"/>
        <w:rPr/>
      </w:pPr>
      <w:r w:rsidDel="00000000" w:rsidR="00000000" w:rsidRPr="00000000">
        <w:rPr>
          <w:rtl w:val="0"/>
        </w:rPr>
        <w:t xml:space="preserve">Feb 10, 2016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Meeting Minutes DRAFT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Meeting called to order at 6:07.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  Jeff Wheeler, Bob Kehoe, Dawn Boyer, Kenn Grim, Bob Bingham, Bill Dunkel, Kate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Motion to move beyond the approval of meeting minutes due to computer glitch by Bob B and seconded by Jeff, all in favor.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John Bennet would have been at tonight’s meeting but was sick; he will be at next month’s meeting.  The PC is willing to have more than once per month meetings to move forward.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PC agrees that a new Resource Protection Area overlay map is in order.  We will use Windham Regional Planning Commission grant funds to have this done.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section 201.5: General Description:  resource protection areas are defined as the areas with special natural resources that contribute to Windham’s rural character.  They  include but are not limited to, productive farmland, wetland chains, significant wildlife areas or crossings, scenic areas (see Chapter VI part C of Town Plan),  and fragile resources including ridgelines, headwaters, watersheds, and aquifers.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Purpose: To sustain the town and region’s health and safety, and Windham’s character, as well as fish and wildlife habitats.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Kate and Bob B will meet to come up with an agenda (specific questions) for meeting with Bennett.  PC members are asked to email Kate with their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Jeff made a motion to accept January minutes, seconded by Dawn and Bob B, approved.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Motion to adjourn at 8:05 by Jeff, seconded Dawn, all in favor.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